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A2E" w:rsidRPr="001F5A2E" w:rsidRDefault="001F5A2E" w:rsidP="001F5A2E">
      <w:pPr>
        <w:pStyle w:val="Ttulo2"/>
        <w:jc w:val="center"/>
        <w:rPr>
          <w:lang w:val="es-ES"/>
        </w:rPr>
      </w:pPr>
      <w:r w:rsidRPr="001F5A2E">
        <w:rPr>
          <w:lang w:val="es-ES"/>
        </w:rPr>
        <w:t>Debates estructurados</w:t>
      </w:r>
    </w:p>
    <w:p w:rsidR="001F5A2E" w:rsidRDefault="001F5A2E" w:rsidP="001F5A2E">
      <w:r w:rsidRPr="001F5A2E">
        <w:rPr>
          <w:b/>
          <w:i/>
          <w:lang w:val="es-ES"/>
        </w:rPr>
        <w:t>Metodología 1.</w:t>
      </w:r>
      <w:r w:rsidRPr="001F5A2E">
        <w:rPr>
          <w:lang w:val="es-ES"/>
        </w:rPr>
        <w:t xml:space="preserve"> </w:t>
      </w:r>
      <w:r>
        <w:rPr>
          <w:lang w:val="es-ES"/>
        </w:rPr>
        <w:t xml:space="preserve">El modelo de </w:t>
      </w:r>
      <w:proofErr w:type="spellStart"/>
      <w:r w:rsidRPr="00C103FD">
        <w:rPr>
          <w:lang w:val="es-ES"/>
        </w:rPr>
        <w:t>Loewenberg</w:t>
      </w:r>
      <w:proofErr w:type="spellEnd"/>
      <w:r w:rsidRPr="00C103FD">
        <w:rPr>
          <w:lang w:val="es-ES"/>
        </w:rPr>
        <w:t xml:space="preserve"> </w:t>
      </w:r>
      <w:r>
        <w:rPr>
          <w:lang w:val="es-ES"/>
        </w:rPr>
        <w:t xml:space="preserve">se </w:t>
      </w:r>
      <w:r>
        <w:t>basa en las propuestas teóricas y recomienda una toma de decisiones gradual y en la que deben considerarse varios factores, personas y antecedentes, proponiendo lo siguiente: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bookmarkStart w:id="0" w:name="idm2160960"/>
      <w:bookmarkEnd w:id="0"/>
      <w:r>
        <w:t>Identificar el problema y los factores que contribuyen a mantenerlo.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Tomar en consideración a las personas e instituciones relacionadas con dicho problema.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Identificar los valores que mantienen los distintos participantes y que son relevantes para el problema.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Mencionar las metas y objetivos que se busca resolver, o al menos reducir, en relación con el problema.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Hacer explícitas las estrategias de intervención consideradas.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Asegurar la efectividad y eficacia de cada alternativa en términos de las metas identificadas.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Determinar quién debería estar implicado en la toma de decisiones.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Seleccionar la estrategia más apropiada.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Implantar la estrategia seleccionada.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Hacer un seguimiento de la implantación, prestando particular atención a las consecuencias que no se habían anticipado previamente.</w:t>
      </w:r>
    </w:p>
    <w:p w:rsidR="001F5A2E" w:rsidRDefault="001F5A2E" w:rsidP="001F5A2E">
      <w:pPr>
        <w:pStyle w:val="Prrafodelista"/>
        <w:numPr>
          <w:ilvl w:val="0"/>
          <w:numId w:val="1"/>
        </w:numPr>
      </w:pPr>
      <w:r>
        <w:t>Evaluar los resultados e identificar problemas adicionales</w:t>
      </w:r>
    </w:p>
    <w:p w:rsidR="001F5A2E" w:rsidRPr="00753D5F" w:rsidRDefault="001F5A2E" w:rsidP="001F5A2E">
      <w:pPr>
        <w:rPr>
          <w:lang w:val="es-ES"/>
        </w:rPr>
      </w:pPr>
      <w:proofErr w:type="spellStart"/>
      <w:r w:rsidRPr="00753D5F">
        <w:rPr>
          <w:lang w:val="en-US"/>
        </w:rPr>
        <w:t>Tomado</w:t>
      </w:r>
      <w:proofErr w:type="spellEnd"/>
      <w:r w:rsidRPr="00974EBD">
        <w:rPr>
          <w:lang w:val="en-US"/>
        </w:rPr>
        <w:t xml:space="preserve"> de: </w:t>
      </w:r>
      <w:proofErr w:type="spellStart"/>
      <w:r w:rsidRPr="00974EBD">
        <w:rPr>
          <w:lang w:val="en-US"/>
        </w:rPr>
        <w:t>Dolgoff</w:t>
      </w:r>
      <w:proofErr w:type="spellEnd"/>
      <w:r w:rsidRPr="00974EBD">
        <w:rPr>
          <w:lang w:val="en-US"/>
        </w:rPr>
        <w:t xml:space="preserve"> R., </w:t>
      </w:r>
      <w:proofErr w:type="spellStart"/>
      <w:r w:rsidRPr="00974EBD">
        <w:rPr>
          <w:lang w:val="en-US"/>
        </w:rPr>
        <w:t>Loewenberg</w:t>
      </w:r>
      <w:proofErr w:type="spellEnd"/>
      <w:r w:rsidRPr="00974EBD">
        <w:rPr>
          <w:lang w:val="en-US"/>
        </w:rPr>
        <w:t xml:space="preserve"> F.M., Harrington D.</w:t>
      </w:r>
      <w:r>
        <w:rPr>
          <w:lang w:val="en-US"/>
        </w:rPr>
        <w:t xml:space="preserve"> (2011)</w:t>
      </w:r>
      <w:r w:rsidRPr="00974EBD">
        <w:rPr>
          <w:lang w:val="en-US"/>
        </w:rPr>
        <w:t xml:space="preserve">. </w:t>
      </w:r>
      <w:r w:rsidRPr="00DA6B3C">
        <w:rPr>
          <w:i/>
          <w:lang w:val="en-US"/>
        </w:rPr>
        <w:t>Ethical Decisions for Social Work Practice.</w:t>
      </w:r>
      <w:r w:rsidRPr="00974EBD">
        <w:rPr>
          <w:lang w:val="en-US"/>
        </w:rPr>
        <w:t xml:space="preserve"> </w:t>
      </w:r>
      <w:r w:rsidRPr="00753D5F">
        <w:rPr>
          <w:lang w:val="es-ES"/>
        </w:rPr>
        <w:t xml:space="preserve">Brooks/Cole, </w:t>
      </w:r>
      <w:proofErr w:type="spellStart"/>
      <w:r w:rsidRPr="00753D5F">
        <w:rPr>
          <w:lang w:val="es-ES"/>
        </w:rPr>
        <w:t>Cengage</w:t>
      </w:r>
      <w:proofErr w:type="spellEnd"/>
      <w:r w:rsidRPr="00753D5F">
        <w:rPr>
          <w:lang w:val="es-ES"/>
        </w:rPr>
        <w:t xml:space="preserve"> </w:t>
      </w:r>
      <w:proofErr w:type="spellStart"/>
      <w:r w:rsidRPr="00753D5F">
        <w:rPr>
          <w:lang w:val="es-ES"/>
        </w:rPr>
        <w:t>Learning</w:t>
      </w:r>
      <w:proofErr w:type="spellEnd"/>
      <w:r w:rsidRPr="00753D5F">
        <w:rPr>
          <w:lang w:val="es-ES"/>
        </w:rPr>
        <w:t>.</w:t>
      </w:r>
    </w:p>
    <w:p w:rsidR="001F5A2E" w:rsidRDefault="001F5A2E" w:rsidP="001F5A2E"/>
    <w:p w:rsidR="001F5A2E" w:rsidRPr="000E0259" w:rsidRDefault="001F5A2E" w:rsidP="001F5A2E">
      <w:r w:rsidRPr="00B64B81">
        <w:rPr>
          <w:b/>
          <w:i/>
        </w:rPr>
        <w:lastRenderedPageBreak/>
        <w:t>Metodología 2.</w:t>
      </w:r>
      <w:r w:rsidRPr="00421EED">
        <w:t xml:space="preserve"> </w:t>
      </w:r>
      <w:r>
        <w:t xml:space="preserve">Tomado del artículo: </w:t>
      </w:r>
      <w:r w:rsidRPr="000E0259">
        <w:t>Carrill</w:t>
      </w:r>
      <w:r>
        <w:t xml:space="preserve">o-García, S., &amp; Castellanos, KN. </w:t>
      </w:r>
      <w:r w:rsidRPr="000E0259">
        <w:t>​</w:t>
      </w:r>
      <w:proofErr w:type="gramStart"/>
      <w:r w:rsidRPr="000E0259">
        <w:t>​(</w:t>
      </w:r>
      <w:proofErr w:type="gramEnd"/>
      <w:r w:rsidRPr="000E0259">
        <w:t xml:space="preserve">2017). </w:t>
      </w:r>
      <w:r w:rsidRPr="008D31FC">
        <w:rPr>
          <w:i/>
        </w:rPr>
        <w:t>El debate académico como estrategia didáctica para la formación de competencias argumentativas y para la aproximación al diálogo científico.</w:t>
      </w:r>
      <w:r>
        <w:t xml:space="preserve"> Rastros Rostros.</w:t>
      </w:r>
    </w:p>
    <w:p w:rsidR="001F5A2E" w:rsidRDefault="001F5A2E" w:rsidP="001F5A2E">
      <w:r>
        <w:t xml:space="preserve">Cada exponente y moderador se evaluó a través de una rejilla que permitió evidenciar el desarrollo de las competencias comunicativas orales y escritas (en el uso de las diapositivas o ayudas audiovisuales) de cada estudiante. Se establecieron los siguientes criterios de evaluación con sus respectivas observaciones halladas para el caso de los expositores: </w:t>
      </w:r>
    </w:p>
    <w:p w:rsidR="001F5A2E" w:rsidRDefault="001F5A2E" w:rsidP="001F5A2E">
      <w:r w:rsidRPr="00B64B81">
        <w:rPr>
          <w:i/>
        </w:rPr>
        <w:t>Criterio 1.</w:t>
      </w:r>
      <w:r>
        <w:t xml:space="preserve"> Introducción, ubicación en el tema de la sustentación, y los contenidos por tratar. Generación de atención en el público. Para la mayoría de los grupos exponentes, la introducción equivale solamente a decir los nombres y el tema que se tratará. </w:t>
      </w:r>
    </w:p>
    <w:p w:rsidR="001F5A2E" w:rsidRDefault="001F5A2E" w:rsidP="001F5A2E">
      <w:r w:rsidRPr="00B64B81">
        <w:rPr>
          <w:i/>
        </w:rPr>
        <w:t>Criterio 2.</w:t>
      </w:r>
      <w:r>
        <w:t xml:space="preserve"> Capacidad de síntesis, selección de la información y manejo del tiempo en cada uno de los integrantes del grupo. Claridad y veracidad de las explicaciones. Ejemplos, actividades, complementos, referencias y soporte bibliográfico. </w:t>
      </w:r>
    </w:p>
    <w:p w:rsidR="001F5A2E" w:rsidRDefault="001F5A2E" w:rsidP="001F5A2E">
      <w:r w:rsidRPr="0015419C">
        <w:rPr>
          <w:i/>
        </w:rPr>
        <w:t>Criterio 3.</w:t>
      </w:r>
      <w:r>
        <w:t xml:space="preserve"> Elocuencia: tono de voz, gesticulación, manejo del espacio, confianza, relación con el auditorio. Efecto estético del discurso oral.</w:t>
      </w:r>
    </w:p>
    <w:p w:rsidR="001F5A2E" w:rsidRDefault="001F5A2E" w:rsidP="001F5A2E">
      <w:r w:rsidRPr="0015419C">
        <w:rPr>
          <w:i/>
        </w:rPr>
        <w:t>Criterio 4.</w:t>
      </w:r>
      <w:r>
        <w:t xml:space="preserve"> Estructuración del discurso: cohesión y coherencia en cada uno de los integrantes del grupo.</w:t>
      </w:r>
    </w:p>
    <w:p w:rsidR="001F5A2E" w:rsidRDefault="001F5A2E" w:rsidP="001F5A2E">
      <w:r w:rsidRPr="0015419C">
        <w:rPr>
          <w:i/>
        </w:rPr>
        <w:t>Criterio 5.</w:t>
      </w:r>
      <w:r>
        <w:t xml:space="preserve"> Uso de recursos didácticos: diapositivas, audios, videos cortos, carteleras y fotocopias.</w:t>
      </w:r>
    </w:p>
    <w:p w:rsidR="001F5A2E" w:rsidRDefault="001F5A2E" w:rsidP="001F5A2E">
      <w:r w:rsidRPr="00632713">
        <w:rPr>
          <w:i/>
        </w:rPr>
        <w:t>Criterio 6.</w:t>
      </w:r>
      <w:r>
        <w:t xml:space="preserve"> Interacción con el público: paso a preguntas sobre la exposición, claridad y manejo de las respuestas.</w:t>
      </w:r>
    </w:p>
    <w:p w:rsidR="001F5A2E" w:rsidRDefault="001F5A2E" w:rsidP="001F5A2E"/>
    <w:p w:rsidR="001F5A2E" w:rsidRDefault="001F5A2E" w:rsidP="001F5A2E"/>
    <w:p w:rsidR="001F5A2E" w:rsidRPr="000E0259" w:rsidRDefault="001F5A2E" w:rsidP="001F5A2E">
      <w:pPr>
        <w:rPr>
          <w:i/>
        </w:rPr>
      </w:pPr>
      <w:r w:rsidRPr="000E0259">
        <w:rPr>
          <w:b/>
        </w:rPr>
        <w:lastRenderedPageBreak/>
        <w:t>Tabla 1.</w:t>
      </w:r>
      <w:r>
        <w:t xml:space="preserve"> </w:t>
      </w:r>
      <w:r w:rsidRPr="000E0259">
        <w:rPr>
          <w:i/>
        </w:rPr>
        <w:t>Tipos de procedimientos argumentativos con sus ejemplos usados en los diferentes debates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7"/>
        <w:gridCol w:w="1816"/>
        <w:gridCol w:w="5255"/>
      </w:tblGrid>
      <w:tr w:rsidR="001F5A2E" w:rsidTr="00631204">
        <w:tc>
          <w:tcPr>
            <w:tcW w:w="1830" w:type="dxa"/>
            <w:vAlign w:val="center"/>
          </w:tcPr>
          <w:p w:rsidR="001F5A2E" w:rsidRPr="000E0259" w:rsidRDefault="001F5A2E" w:rsidP="00631204">
            <w:pPr>
              <w:spacing w:line="276" w:lineRule="auto"/>
              <w:ind w:firstLine="0"/>
              <w:jc w:val="center"/>
              <w:rPr>
                <w:b/>
              </w:rPr>
            </w:pPr>
            <w:r w:rsidRPr="000E0259">
              <w:rPr>
                <w:b/>
              </w:rPr>
              <w:t>Tema del debate</w:t>
            </w:r>
          </w:p>
        </w:tc>
        <w:tc>
          <w:tcPr>
            <w:tcW w:w="1589" w:type="dxa"/>
            <w:vAlign w:val="center"/>
          </w:tcPr>
          <w:p w:rsidR="001F5A2E" w:rsidRPr="000E0259" w:rsidRDefault="001F5A2E" w:rsidP="00631204">
            <w:pPr>
              <w:spacing w:line="276" w:lineRule="auto"/>
              <w:ind w:firstLine="0"/>
              <w:jc w:val="center"/>
              <w:rPr>
                <w:b/>
              </w:rPr>
            </w:pPr>
            <w:r w:rsidRPr="000E0259">
              <w:rPr>
                <w:b/>
              </w:rPr>
              <w:t>Procedimientos argumentativos</w:t>
            </w:r>
          </w:p>
        </w:tc>
        <w:tc>
          <w:tcPr>
            <w:tcW w:w="5931" w:type="dxa"/>
            <w:vAlign w:val="center"/>
          </w:tcPr>
          <w:p w:rsidR="001F5A2E" w:rsidRPr="000E0259" w:rsidRDefault="001F5A2E" w:rsidP="00631204">
            <w:pPr>
              <w:spacing w:line="276" w:lineRule="auto"/>
              <w:ind w:firstLine="0"/>
              <w:jc w:val="center"/>
              <w:rPr>
                <w:b/>
              </w:rPr>
            </w:pPr>
            <w:r w:rsidRPr="000E0259">
              <w:rPr>
                <w:b/>
              </w:rPr>
              <w:t>Ejemplos de argumentos dados por los estudiantes</w:t>
            </w:r>
          </w:p>
        </w:tc>
      </w:tr>
      <w:tr w:rsidR="001F5A2E" w:rsidTr="00631204">
        <w:tc>
          <w:tcPr>
            <w:tcW w:w="1830" w:type="dxa"/>
          </w:tcPr>
          <w:p w:rsidR="001F5A2E" w:rsidRDefault="001F5A2E" w:rsidP="00631204">
            <w:pPr>
              <w:spacing w:line="276" w:lineRule="auto"/>
              <w:ind w:firstLine="0"/>
            </w:pPr>
            <w:r>
              <w:t>Química verde, orgánica y ambiental</w:t>
            </w:r>
          </w:p>
        </w:tc>
        <w:tc>
          <w:tcPr>
            <w:tcW w:w="1589" w:type="dxa"/>
          </w:tcPr>
          <w:p w:rsidR="001F5A2E" w:rsidRDefault="001F5A2E" w:rsidP="00631204">
            <w:pPr>
              <w:spacing w:line="276" w:lineRule="auto"/>
              <w:ind w:firstLine="0"/>
            </w:pPr>
            <w:r>
              <w:t>Comparación</w:t>
            </w:r>
          </w:p>
        </w:tc>
        <w:tc>
          <w:tcPr>
            <w:tcW w:w="5931" w:type="dxa"/>
          </w:tcPr>
          <w:p w:rsidR="001F5A2E" w:rsidRDefault="001F5A2E" w:rsidP="00631204">
            <w:pPr>
              <w:spacing w:line="276" w:lineRule="auto"/>
              <w:ind w:firstLine="0"/>
            </w:pPr>
            <w:r>
              <w:t>“Pues también depende del país donde se esté investigando, porque por lo menos en Nueva Zelanda, la química ambiental la cuidan muchísimo y han implementado muchas maneras a partir de desechos, han creado muchas cosas que ayudan al medio ambiente y suple cosas que la orgánica tenía. En países como Colombia no se investiga para nada en eso y siempre buscan lo que dé más ganancia, pero no lo que sea mejor para uno”.</w:t>
            </w:r>
          </w:p>
        </w:tc>
      </w:tr>
      <w:tr w:rsidR="001F5A2E" w:rsidTr="00631204">
        <w:tc>
          <w:tcPr>
            <w:tcW w:w="1830" w:type="dxa"/>
          </w:tcPr>
          <w:p w:rsidR="001F5A2E" w:rsidRDefault="001F5A2E" w:rsidP="00631204">
            <w:pPr>
              <w:spacing w:line="276" w:lineRule="auto"/>
              <w:ind w:firstLine="0"/>
            </w:pPr>
            <w:r>
              <w:t>Licencias ambientales y explotación de recursos naturales a cielo abierto</w:t>
            </w:r>
          </w:p>
        </w:tc>
        <w:tc>
          <w:tcPr>
            <w:tcW w:w="1589" w:type="dxa"/>
          </w:tcPr>
          <w:p w:rsidR="001F5A2E" w:rsidRDefault="001F5A2E" w:rsidP="00631204">
            <w:pPr>
              <w:spacing w:line="276" w:lineRule="auto"/>
              <w:ind w:firstLine="0"/>
            </w:pPr>
            <w:proofErr w:type="spellStart"/>
            <w:r>
              <w:t>Contradebatir</w:t>
            </w:r>
            <w:proofErr w:type="spellEnd"/>
          </w:p>
        </w:tc>
        <w:tc>
          <w:tcPr>
            <w:tcW w:w="5931" w:type="dxa"/>
          </w:tcPr>
          <w:p w:rsidR="001F5A2E" w:rsidRDefault="001F5A2E" w:rsidP="00631204">
            <w:pPr>
              <w:spacing w:line="276" w:lineRule="auto"/>
              <w:ind w:firstLine="0"/>
            </w:pPr>
            <w:r>
              <w:t>“Con respecto al comentario de mi compañera, ¿cómo van a garantizar el volver a establecer el ambiente que dañaron? No se puede. ¿Cómo van sembrar 20 árboles talando uno que tenía 120 años o más o menos donde ya producía algo que es a favor de nosotros? Si nosotros comemos de la naturaleza, entonces no estoy de acuerdo con la minería y, pues sí, a pesar que se reduce el impacto, pero no va ser igual”.</w:t>
            </w:r>
          </w:p>
        </w:tc>
      </w:tr>
    </w:tbl>
    <w:p w:rsidR="001F5A2E" w:rsidRDefault="001F5A2E" w:rsidP="001F5A2E">
      <w:pPr>
        <w:spacing w:line="360" w:lineRule="auto"/>
        <w:ind w:firstLine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Fuente: </w:t>
      </w:r>
      <w:r w:rsidRPr="00D27D77">
        <w:rPr>
          <w:sz w:val="20"/>
          <w:szCs w:val="20"/>
        </w:rPr>
        <w:t>Carrillo-García, S., &amp; Castellanos, KN. (2017). El debate académico como estrategia didáctica para la formación de competencias argumentativas y para la aproximación al diálogo científico. Rastros Rostros.</w:t>
      </w:r>
    </w:p>
    <w:p w:rsidR="001F5A2E" w:rsidRDefault="001F5A2E" w:rsidP="001F5A2E">
      <w:pPr>
        <w:spacing w:after="160" w:line="259" w:lineRule="auto"/>
        <w:ind w:firstLine="0"/>
        <w:jc w:val="left"/>
        <w:rPr>
          <w:sz w:val="20"/>
          <w:szCs w:val="20"/>
        </w:rPr>
      </w:pPr>
      <w:bookmarkStart w:id="1" w:name="_GoBack"/>
      <w:bookmarkEnd w:id="1"/>
    </w:p>
    <w:p w:rsidR="009C4749" w:rsidRDefault="001F5A2E"/>
    <w:sectPr w:rsidR="009C474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80DE4"/>
    <w:multiLevelType w:val="hybridMultilevel"/>
    <w:tmpl w:val="20ACBA14"/>
    <w:lvl w:ilvl="0" w:tplc="4546EC8A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A2E"/>
    <w:rsid w:val="00001B89"/>
    <w:rsid w:val="00110B7D"/>
    <w:rsid w:val="001F5A2E"/>
    <w:rsid w:val="004A0483"/>
    <w:rsid w:val="00645F53"/>
    <w:rsid w:val="009C6FF4"/>
    <w:rsid w:val="00F5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F40A"/>
  <w15:chartTrackingRefBased/>
  <w15:docId w15:val="{D89DDF00-FF8C-4DD0-81C2-E6952666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A2E"/>
    <w:pPr>
      <w:spacing w:after="0" w:line="480" w:lineRule="auto"/>
      <w:ind w:firstLine="720"/>
      <w:jc w:val="both"/>
    </w:pPr>
    <w:rPr>
      <w:rFonts w:ascii="Times New Roman" w:hAnsi="Times New Roman"/>
      <w:color w:val="000000" w:themeColor="text1"/>
      <w:kern w:val="2"/>
      <w:sz w:val="24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F5A2E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F5A2E"/>
    <w:rPr>
      <w:rFonts w:ascii="Times New Roman" w:eastAsiaTheme="majorEastAsia" w:hAnsi="Times New Roman" w:cstheme="majorBidi"/>
      <w:b/>
      <w:color w:val="000000" w:themeColor="text1"/>
      <w:kern w:val="2"/>
      <w:sz w:val="24"/>
      <w:szCs w:val="32"/>
      <w:lang w:val="es-CO"/>
      <w14:ligatures w14:val="standardContextual"/>
    </w:rPr>
  </w:style>
  <w:style w:type="paragraph" w:styleId="Prrafodelista">
    <w:name w:val="List Paragraph"/>
    <w:basedOn w:val="Normal"/>
    <w:uiPriority w:val="34"/>
    <w:qFormat/>
    <w:rsid w:val="001F5A2E"/>
    <w:pPr>
      <w:ind w:left="720"/>
      <w:contextualSpacing/>
    </w:pPr>
  </w:style>
  <w:style w:type="table" w:styleId="Tablaconcuadrcula">
    <w:name w:val="Table Grid"/>
    <w:basedOn w:val="Tablanormal"/>
    <w:uiPriority w:val="39"/>
    <w:rsid w:val="001F5A2E"/>
    <w:pPr>
      <w:spacing w:after="0" w:line="240" w:lineRule="auto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624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Dayana</dc:creator>
  <cp:keywords/>
  <dc:description/>
  <cp:lastModifiedBy>Dayana</cp:lastModifiedBy>
  <cp:revision>1</cp:revision>
  <dcterms:created xsi:type="dcterms:W3CDTF">2026-07-16T19:51:00Z</dcterms:created>
  <dcterms:modified xsi:type="dcterms:W3CDTF">2026-07-16T19:54:00Z</dcterms:modified>
</cp:coreProperties>
</file>